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Rule="auto"/>
        <w:jc w:val="center"/>
        <w:rPr>
          <w:rFonts w:ascii="Helvetica Neue" w:cs="Helvetica Neue" w:eastAsia="Helvetica Neue" w:hAnsi="Helvetica Neue"/>
          <w:b w:val="1"/>
          <w:i w:val="1"/>
          <w:color w:val="990000"/>
          <w:sz w:val="21"/>
          <w:szCs w:val="21"/>
          <w:u w:val="single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color w:val="990000"/>
          <w:sz w:val="21"/>
          <w:szCs w:val="21"/>
          <w:u w:val="single"/>
          <w:rtl w:val="0"/>
        </w:rPr>
        <w:t xml:space="preserve">Консультация для родителей: </w:t>
      </w:r>
    </w:p>
    <w:p w:rsidR="00000000" w:rsidDel="00000000" w:rsidP="00000000" w:rsidRDefault="00000000" w:rsidRPr="00000000" w14:paraId="00000002">
      <w:pPr>
        <w:spacing w:after="160" w:lineRule="auto"/>
        <w:jc w:val="center"/>
        <w:rPr>
          <w:rFonts w:ascii="Helvetica Neue" w:cs="Helvetica Neue" w:eastAsia="Helvetica Neue" w:hAnsi="Helvetica Neue"/>
          <w:b w:val="1"/>
          <w:i w:val="1"/>
          <w:color w:val="990000"/>
          <w:sz w:val="21"/>
          <w:szCs w:val="21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color w:val="990000"/>
          <w:sz w:val="21"/>
          <w:szCs w:val="21"/>
          <w:u w:val="single"/>
          <w:rtl w:val="0"/>
        </w:rPr>
        <w:t xml:space="preserve">«Развиваем речь детей с ОНР».</w:t>
      </w:r>
    </w:p>
    <w:p w:rsidR="00000000" w:rsidDel="00000000" w:rsidP="00000000" w:rsidRDefault="00000000" w:rsidRPr="00000000" w14:paraId="00000003">
      <w:pPr>
        <w:spacing w:after="160" w:lineRule="auto"/>
        <w:jc w:val="center"/>
        <w:rPr>
          <w:rFonts w:ascii="Helvetica Neue" w:cs="Helvetica Neue" w:eastAsia="Helvetica Neue" w:hAnsi="Helvetica Neue"/>
          <w:b w:val="1"/>
          <w:i w:val="1"/>
          <w:color w:val="990000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Rule="auto"/>
        <w:jc w:val="both"/>
        <w:rPr>
          <w:rFonts w:ascii="Helvetica Neue" w:cs="Helvetica Neue" w:eastAsia="Helvetica Neue" w:hAnsi="Helvetica Neue"/>
          <w:color w:val="333333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color w:val="333333"/>
          <w:sz w:val="21"/>
          <w:szCs w:val="21"/>
          <w:u w:val="single"/>
          <w:rtl w:val="0"/>
        </w:rPr>
        <w:t xml:space="preserve">Общее недоразвитие речи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 – это форма речевого расстройства, при котором нарушено развитие всех компонентов речевой системы у детей с нормальным слухом и сохранным интеллектом, при котором не сформированы компоненты языковой системы, а именно: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2536388" cy="2775107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36388" cy="277510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Фонетические нарушения;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Лексические нарушения;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Грамматические нарушения;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160" w:lineRule="auto"/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Нарушение развития связной речи.</w:t>
      </w:r>
    </w:p>
    <w:p w:rsidR="00000000" w:rsidDel="00000000" w:rsidP="00000000" w:rsidRDefault="00000000" w:rsidRPr="00000000" w14:paraId="00000009">
      <w:pPr>
        <w:spacing w:after="160" w:lineRule="auto"/>
        <w:jc w:val="both"/>
        <w:rPr>
          <w:rFonts w:ascii="Helvetica Neue" w:cs="Helvetica Neue" w:eastAsia="Helvetica Neue" w:hAnsi="Helvetica Neue"/>
          <w:color w:val="333333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Поэтому, коррекционную работу необходимо вести именно по этим областям: </w:t>
      </w:r>
    </w:p>
    <w:p w:rsidR="00000000" w:rsidDel="00000000" w:rsidP="00000000" w:rsidRDefault="00000000" w:rsidRPr="00000000" w14:paraId="0000000A">
      <w:pPr>
        <w:spacing w:after="160" w:lineRule="auto"/>
        <w:jc w:val="both"/>
        <w:rPr>
          <w:rFonts w:ascii="Helvetica Neue" w:cs="Helvetica Neue" w:eastAsia="Helvetica Neue" w:hAnsi="Helvetica Neue"/>
          <w:color w:val="333333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1) Фонетические нарушения – по данному компоненту необходима работа по развитию слоговой структуры - т. е. работа над объяснением места звука в слове («Куда спрятался звук?» - в начало в середину или в конец слова?), какие звуки называются гасными, согласными и как они произносятся; перестановкой слогов в слове (барелина вместо балерина), пропуском и их заменой (гебемот вместо бегемот); работа по произношения звуков, их постановке и автоматизации в речи (объяснении места положения – артикуляции, языка, губ, зубов, воздушной струи и что они при этом должны делать), а так же по дифференциации звуков в речи со сходными по звучанию словами, объяснению смысла слов. Например: КО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u w:val="single"/>
          <w:rtl w:val="0"/>
        </w:rPr>
        <w:t xml:space="preserve">З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А-КО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u w:val="single"/>
          <w:rtl w:val="0"/>
        </w:rPr>
        <w:t xml:space="preserve">С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А, МИ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u w:val="single"/>
          <w:rtl w:val="0"/>
        </w:rPr>
        <w:t xml:space="preserve">Ш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КА-МИ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u w:val="single"/>
          <w:rtl w:val="0"/>
        </w:rPr>
        <w:t xml:space="preserve">С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КА, 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u w:val="single"/>
          <w:rtl w:val="0"/>
        </w:rPr>
        <w:t xml:space="preserve">Д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ОСКА-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u w:val="single"/>
          <w:rtl w:val="0"/>
        </w:rPr>
        <w:t xml:space="preserve">Т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ОСКА. Донесите до ребёнка, что это разные слова, а изменение позиции языка меняет смысл и само произношение слова. Так же можно играть в игру «Запомни, повтори» слоги:</w:t>
      </w:r>
    </w:p>
    <w:p w:rsidR="00000000" w:rsidDel="00000000" w:rsidP="00000000" w:rsidRDefault="00000000" w:rsidRPr="00000000" w14:paraId="0000000B">
      <w:pPr>
        <w:spacing w:after="160" w:lineRule="auto"/>
        <w:jc w:val="both"/>
        <w:rPr>
          <w:rFonts w:ascii="Helvetica Neue" w:cs="Helvetica Neue" w:eastAsia="Helvetica Neue" w:hAnsi="Helvetica Neue"/>
          <w:color w:val="333333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Ба-ба-па-ба; Сы-шы-шы-сы;</w:t>
      </w:r>
    </w:p>
    <w:p w:rsidR="00000000" w:rsidDel="00000000" w:rsidP="00000000" w:rsidRDefault="00000000" w:rsidRPr="00000000" w14:paraId="0000000C">
      <w:pPr>
        <w:spacing w:after="160" w:lineRule="auto"/>
        <w:jc w:val="both"/>
        <w:rPr>
          <w:rFonts w:ascii="Helvetica Neue" w:cs="Helvetica Neue" w:eastAsia="Helvetica Neue" w:hAnsi="Helvetica Neue"/>
          <w:color w:val="333333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Ка-га-ка-га; За-за-жа-жа;</w:t>
      </w:r>
    </w:p>
    <w:p w:rsidR="00000000" w:rsidDel="00000000" w:rsidP="00000000" w:rsidRDefault="00000000" w:rsidRPr="00000000" w14:paraId="0000000D">
      <w:pPr>
        <w:spacing w:after="160" w:lineRule="auto"/>
        <w:jc w:val="both"/>
        <w:rPr>
          <w:rFonts w:ascii="Helvetica Neue" w:cs="Helvetica Neue" w:eastAsia="Helvetica Neue" w:hAnsi="Helvetica Neue"/>
          <w:color w:val="333333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То-то-то-до; Са-са-за-са и т.д.</w:t>
      </w:r>
    </w:p>
    <w:p w:rsidR="00000000" w:rsidDel="00000000" w:rsidP="00000000" w:rsidRDefault="00000000" w:rsidRPr="00000000" w14:paraId="0000000E">
      <w:pPr>
        <w:spacing w:after="160" w:lineRule="auto"/>
        <w:jc w:val="both"/>
        <w:rPr>
          <w:rFonts w:ascii="Helvetica Neue" w:cs="Helvetica Neue" w:eastAsia="Helvetica Neue" w:hAnsi="Helvetica Neue"/>
          <w:color w:val="333333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2) Лексико-грамматические нарушения (развиваем, пополняем словарный запас детей, формируем правильное употребление грамматических категорий) – наполняем его словами-прилагательными, глаголами, числительными, обобщающими понятиями, словами-антонимами, синонимами, знакомим детей с новыми неизвестными им словами, формируем правильное употребление окончаний, падежных и родовых окончаний количественных числительных, окончаний глаголов в прошедшем времени. Так же необходимо проработать употребление в речи предлогов и т. д.</w:t>
      </w:r>
    </w:p>
    <w:p w:rsidR="00000000" w:rsidDel="00000000" w:rsidP="00000000" w:rsidRDefault="00000000" w:rsidRPr="00000000" w14:paraId="0000000F">
      <w:pPr>
        <w:spacing w:after="160" w:lineRule="auto"/>
        <w:jc w:val="both"/>
        <w:rPr>
          <w:rFonts w:ascii="Helvetica Neue" w:cs="Helvetica Neue" w:eastAsia="Helvetica Neue" w:hAnsi="Helvetica Neue"/>
          <w:i w:val="1"/>
          <w:color w:val="333333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Например: игра 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333333"/>
          <w:sz w:val="21"/>
          <w:szCs w:val="21"/>
          <w:rtl w:val="0"/>
        </w:rPr>
        <w:t xml:space="preserve">«Назови одним словом»: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яблоко, апельсин, банан, груша – это овощи.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160" w:lineRule="auto"/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шкаф, диван, кресло, кровать – это мебель и т. д.</w:t>
      </w:r>
    </w:p>
    <w:p w:rsidR="00000000" w:rsidDel="00000000" w:rsidP="00000000" w:rsidRDefault="00000000" w:rsidRPr="00000000" w14:paraId="00000012">
      <w:pPr>
        <w:spacing w:after="160" w:lineRule="auto"/>
        <w:jc w:val="both"/>
        <w:rPr>
          <w:rFonts w:ascii="Helvetica Neue" w:cs="Helvetica Neue" w:eastAsia="Helvetica Neue" w:hAnsi="Helvetica Neue"/>
          <w:i w:val="1"/>
          <w:color w:val="333333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Игра 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333333"/>
          <w:sz w:val="21"/>
          <w:szCs w:val="21"/>
          <w:rtl w:val="0"/>
        </w:rPr>
        <w:t xml:space="preserve">«Какой, какая, какие?»: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Солнышко (какое?) – яркое, тёплое, жёлтое и т.д.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160" w:lineRule="auto"/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День (какой?) – пасмурный, солнечный ….</w:t>
      </w:r>
    </w:p>
    <w:p w:rsidR="00000000" w:rsidDel="00000000" w:rsidP="00000000" w:rsidRDefault="00000000" w:rsidRPr="00000000" w14:paraId="00000015">
      <w:pPr>
        <w:spacing w:after="160" w:lineRule="auto"/>
        <w:jc w:val="both"/>
        <w:rPr>
          <w:rFonts w:ascii="Helvetica Neue" w:cs="Helvetica Neue" w:eastAsia="Helvetica Neue" w:hAnsi="Helvetica Neue"/>
          <w:color w:val="333333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Игра 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333333"/>
          <w:sz w:val="21"/>
          <w:szCs w:val="21"/>
          <w:rtl w:val="0"/>
        </w:rPr>
        <w:t xml:space="preserve">«Скажи наоборот»: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 Жарко - холодно, светлый - тёмный, большой - маленький, высокий – низкий и т. д.</w:t>
      </w:r>
    </w:p>
    <w:p w:rsidR="00000000" w:rsidDel="00000000" w:rsidP="00000000" w:rsidRDefault="00000000" w:rsidRPr="00000000" w14:paraId="00000016">
      <w:pPr>
        <w:spacing w:after="160" w:lineRule="auto"/>
        <w:jc w:val="both"/>
        <w:rPr>
          <w:rFonts w:ascii="Helvetica Neue" w:cs="Helvetica Neue" w:eastAsia="Helvetica Neue" w:hAnsi="Helvetica Neue"/>
          <w:color w:val="333333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Игра 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333333"/>
          <w:sz w:val="21"/>
          <w:szCs w:val="21"/>
          <w:rtl w:val="0"/>
        </w:rPr>
        <w:t xml:space="preserve">«Где спряталась кукла?»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 - Кукла сидит 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u w:val="single"/>
          <w:rtl w:val="0"/>
        </w:rPr>
        <w:t xml:space="preserve">под 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столом, 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u w:val="single"/>
          <w:rtl w:val="0"/>
        </w:rPr>
        <w:t xml:space="preserve">на 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столе, 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u w:val="single"/>
          <w:rtl w:val="0"/>
        </w:rPr>
        <w:t xml:space="preserve">в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коробке, 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u w:val="single"/>
          <w:rtl w:val="0"/>
        </w:rPr>
        <w:t xml:space="preserve">за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 коробкой, выглядывает 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u w:val="single"/>
          <w:rtl w:val="0"/>
        </w:rPr>
        <w:t xml:space="preserve">из-за (из-под)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 коробки, 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u w:val="single"/>
          <w:rtl w:val="0"/>
        </w:rPr>
        <w:t xml:space="preserve">над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 столом, около стола, достаю куклу 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u w:val="single"/>
          <w:rtl w:val="0"/>
        </w:rPr>
        <w:t xml:space="preserve">из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 шкафа.</w:t>
      </w:r>
    </w:p>
    <w:p w:rsidR="00000000" w:rsidDel="00000000" w:rsidP="00000000" w:rsidRDefault="00000000" w:rsidRPr="00000000" w14:paraId="00000017">
      <w:pPr>
        <w:spacing w:after="160" w:lineRule="auto"/>
        <w:jc w:val="both"/>
        <w:rPr>
          <w:rFonts w:ascii="Helvetica Neue" w:cs="Helvetica Neue" w:eastAsia="Helvetica Neue" w:hAnsi="Helvetica Neue"/>
          <w:color w:val="333333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Игры на развитие грамматических категорий: 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333333"/>
          <w:sz w:val="21"/>
          <w:szCs w:val="21"/>
          <w:rtl w:val="0"/>
        </w:rPr>
        <w:t xml:space="preserve">«Назови сколько?»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 - 1 цыпленок - мяч, 2 цыпленка - мяча, 5 цыплят - мячей, 8 цыплят – мячей и т.д.</w:t>
      </w:r>
    </w:p>
    <w:p w:rsidR="00000000" w:rsidDel="00000000" w:rsidP="00000000" w:rsidRDefault="00000000" w:rsidRPr="00000000" w14:paraId="00000018">
      <w:pPr>
        <w:spacing w:after="160" w:lineRule="auto"/>
        <w:jc w:val="both"/>
        <w:rPr>
          <w:rFonts w:ascii="Helvetica Neue" w:cs="Helvetica Neue" w:eastAsia="Helvetica Neue" w:hAnsi="Helvetica Neue"/>
          <w:color w:val="333333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Игра 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333333"/>
          <w:sz w:val="21"/>
          <w:szCs w:val="21"/>
          <w:rtl w:val="0"/>
        </w:rPr>
        <w:t xml:space="preserve">«Кто что делает?»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 - красные яблоки растут (а не растёт), мальчик играет с красненькими флажками (а не с красненький флажком) и т.п.</w:t>
      </w:r>
    </w:p>
    <w:p w:rsidR="00000000" w:rsidDel="00000000" w:rsidP="00000000" w:rsidRDefault="00000000" w:rsidRPr="00000000" w14:paraId="00000019">
      <w:pPr>
        <w:spacing w:after="160" w:lineRule="auto"/>
        <w:jc w:val="both"/>
        <w:rPr>
          <w:rFonts w:ascii="Helvetica Neue" w:cs="Helvetica Neue" w:eastAsia="Helvetica Neue" w:hAnsi="Helvetica Neue"/>
          <w:color w:val="333333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3) Развиваем связную речь (умение отвечать полным ответом, составлять предложения и говорить предложениями, вести диалог) – для этого необходимо читать и пересказывать сказки, рассказы; придумывать предложения по предметным картинкам, наполняя их словами прилагательными, наречиями, числительными; составлять предложения и рассказы по серии сюжетных картинок, по план-схемам. Поначалу необходимо задавать ребёнку наводящие вопросы и требовать от него не односложного, а полного ответа.</w:t>
      </w:r>
    </w:p>
    <w:p w:rsidR="00000000" w:rsidDel="00000000" w:rsidP="00000000" w:rsidRDefault="00000000" w:rsidRPr="00000000" w14:paraId="0000001A">
      <w:pPr>
        <w:spacing w:after="160" w:lineRule="auto"/>
        <w:jc w:val="both"/>
        <w:rPr>
          <w:rFonts w:ascii="Helvetica Neue" w:cs="Helvetica Neue" w:eastAsia="Helvetica Neue" w:hAnsi="Helvetica Neue"/>
          <w:color w:val="333333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Коррекционно-развивающая работа по преодолению ОНР – очень длительный и трудоемкий процесс, требующий терпения и кропотливости, который должен начинаться, как можно раньше.</w:t>
      </w:r>
    </w:p>
    <w:p w:rsidR="00000000" w:rsidDel="00000000" w:rsidP="00000000" w:rsidRDefault="00000000" w:rsidRPr="00000000" w14:paraId="0000001B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Подготовила: </w:t>
      </w:r>
    </w:p>
    <w:p w:rsidR="00000000" w:rsidDel="00000000" w:rsidP="00000000" w:rsidRDefault="00000000" w:rsidRPr="00000000" w14:paraId="0000001C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Учитель-логопед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i w:val="1"/>
          <w:rtl w:val="0"/>
        </w:rPr>
        <w:t xml:space="preserve">Елсуфьева Т.В.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